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  <w:highlight w:val="none"/>
        </w:rPr>
      </w:pPr>
      <w:r>
        <w:rPr>
          <w:rFonts w:ascii="方正仿宋_GBK" w:hAnsi="仿宋" w:eastAsia="方正仿宋_GBK" w:cs="仿宋"/>
          <w:sz w:val="32"/>
          <w:szCs w:val="32"/>
        </w:rPr>
        <w:t>我校2020届毕业生共计259</w:t>
      </w:r>
      <w:r>
        <w:rPr>
          <w:rFonts w:hint="eastAsia" w:ascii="方正仿宋_GBK" w:hAnsi="仿宋" w:eastAsia="方正仿宋_GBK" w:cs="仿宋"/>
          <w:sz w:val="32"/>
          <w:szCs w:val="32"/>
        </w:rPr>
        <w:t>3</w:t>
      </w:r>
      <w:r>
        <w:rPr>
          <w:rFonts w:ascii="方正仿宋_GBK" w:hAnsi="仿宋" w:eastAsia="方正仿宋_GBK" w:cs="仿宋"/>
          <w:sz w:val="32"/>
          <w:szCs w:val="32"/>
        </w:rPr>
        <w:t>人，其中女生1884人，男生7</w:t>
      </w:r>
      <w:r>
        <w:rPr>
          <w:rFonts w:hint="eastAsia" w:ascii="方正仿宋_GBK" w:hAnsi="仿宋" w:eastAsia="方正仿宋_GBK" w:cs="仿宋"/>
          <w:sz w:val="32"/>
          <w:szCs w:val="32"/>
        </w:rPr>
        <w:t>09</w:t>
      </w:r>
      <w:r>
        <w:rPr>
          <w:rFonts w:ascii="方正仿宋_GBK" w:hAnsi="仿宋" w:eastAsia="方正仿宋_GBK" w:cs="仿宋"/>
          <w:sz w:val="32"/>
          <w:szCs w:val="32"/>
        </w:rPr>
        <w:t>人，外省生源391人（其中湖北</w:t>
      </w:r>
      <w:r>
        <w:rPr>
          <w:rFonts w:hint="eastAsia" w:ascii="方正仿宋_GBK" w:hAnsi="仿宋" w:eastAsia="方正仿宋_GBK" w:cs="仿宋"/>
          <w:sz w:val="32"/>
          <w:szCs w:val="32"/>
        </w:rPr>
        <w:t>籍3</w:t>
      </w:r>
      <w:r>
        <w:rPr>
          <w:rFonts w:ascii="方正仿宋_GBK" w:hAnsi="仿宋" w:eastAsia="方正仿宋_GBK" w:cs="仿宋"/>
          <w:sz w:val="32"/>
          <w:szCs w:val="32"/>
        </w:rPr>
        <w:t>人）</w:t>
      </w:r>
      <w:r>
        <w:rPr>
          <w:rFonts w:hint="eastAsia" w:ascii="方正仿宋_GBK" w:hAnsi="仿宋" w:eastAsia="方正仿宋_GBK" w:cs="仿宋"/>
          <w:sz w:val="32"/>
          <w:szCs w:val="32"/>
        </w:rPr>
        <w:t>，</w:t>
      </w:r>
      <w:r>
        <w:rPr>
          <w:rFonts w:ascii="方正仿宋_GBK" w:hAnsi="仿宋" w:eastAsia="方正仿宋_GBK" w:cs="仿宋"/>
          <w:sz w:val="32"/>
          <w:szCs w:val="32"/>
        </w:rPr>
        <w:t>分布在</w:t>
      </w:r>
      <w:r>
        <w:rPr>
          <w:rFonts w:hint="eastAsia" w:ascii="方正仿宋_GBK" w:hAnsi="仿宋" w:eastAsia="方正仿宋_GBK" w:cs="仿宋"/>
          <w:sz w:val="32"/>
          <w:szCs w:val="32"/>
        </w:rPr>
        <w:t>临床、护理、药学、影像、检验和康复等</w:t>
      </w:r>
      <w:r>
        <w:rPr>
          <w:rFonts w:ascii="方正仿宋_GBK" w:hAnsi="仿宋" w:eastAsia="方正仿宋_GBK" w:cs="仿宋"/>
          <w:sz w:val="32"/>
          <w:szCs w:val="32"/>
        </w:rPr>
        <w:t>18个专业</w:t>
      </w:r>
      <w:r>
        <w:rPr>
          <w:rFonts w:hint="eastAsia" w:ascii="方正仿宋_GBK" w:hAnsi="仿宋" w:eastAsia="方正仿宋_GBK" w:cs="仿宋"/>
          <w:sz w:val="32"/>
          <w:szCs w:val="32"/>
        </w:rPr>
        <w:t>。</w:t>
      </w:r>
      <w:r>
        <w:rPr>
          <w:rFonts w:ascii="方正仿宋_GBK" w:hAnsi="仿宋" w:eastAsia="方正仿宋_GBK" w:cs="仿宋"/>
          <w:sz w:val="32"/>
          <w:szCs w:val="32"/>
        </w:rPr>
        <w:t>其中高职本科3+2分段培养105人</w:t>
      </w:r>
      <w:r>
        <w:rPr>
          <w:rFonts w:hint="eastAsia" w:ascii="方正仿宋_GBK" w:hAnsi="仿宋" w:eastAsia="方正仿宋_GBK" w:cs="仿宋"/>
          <w:sz w:val="32"/>
          <w:szCs w:val="32"/>
        </w:rPr>
        <w:t>、</w:t>
      </w:r>
      <w:r>
        <w:rPr>
          <w:rFonts w:ascii="方正仿宋_GBK" w:hAnsi="仿宋" w:eastAsia="方正仿宋_GBK" w:cs="仿宋"/>
          <w:sz w:val="32"/>
          <w:szCs w:val="32"/>
        </w:rPr>
        <w:t>定向培养2</w:t>
      </w:r>
      <w:r>
        <w:rPr>
          <w:rFonts w:hint="eastAsia" w:ascii="方正仿宋_GBK" w:hAnsi="仿宋" w:eastAsia="方正仿宋_GBK" w:cs="仿宋"/>
          <w:sz w:val="32"/>
          <w:szCs w:val="32"/>
        </w:rPr>
        <w:t>69</w:t>
      </w:r>
      <w:r>
        <w:rPr>
          <w:rFonts w:ascii="方正仿宋_GBK" w:hAnsi="仿宋" w:eastAsia="方正仿宋_GBK" w:cs="仿宋"/>
          <w:sz w:val="32"/>
          <w:szCs w:val="32"/>
        </w:rPr>
        <w:t>人。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截至6月2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日，全校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已有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1315人落实就业，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总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就业率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50.71%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，与往年同期基本相当。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但签约就业率仅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27.38%，比往年同期低近10个百分点；升学率23.33%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（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其中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转本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录取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率19.78%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去年13.84%），得益于今年大幅度扩招政策，较往年有较大提升。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  <w:highlight w:val="none"/>
        </w:rPr>
      </w:pP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建档立卡毕业生共计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167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人，已就业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76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人，其中升学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人，就业率为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45.51%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；生源地为52个未摘帽贫困县的21人，已就业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人，其中升学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人，就业率为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42.86%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；湖北籍毕业生共3人，已全部实现就业；少数民族学生2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1人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，已就业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人，其中升学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人，就业率为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  <w:lang w:val="en-US" w:eastAsia="zh-CN"/>
        </w:rPr>
        <w:t>38.1%</w:t>
      </w:r>
      <w:r>
        <w:rPr>
          <w:rFonts w:hint="eastAsia" w:ascii="方正仿宋_GBK" w:hAnsi="仿宋" w:eastAsia="方正仿宋_GBK" w:cs="仿宋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鉴于疫情形势和我校实际，</w:t>
      </w:r>
      <w:r>
        <w:rPr>
          <w:rFonts w:hint="eastAsia" w:ascii="方正仿宋_GBK" w:hAnsi="仿宋" w:eastAsia="方正仿宋_GBK" w:cs="仿宋"/>
          <w:sz w:val="32"/>
          <w:szCs w:val="32"/>
          <w:lang w:eastAsia="zh-CN"/>
        </w:rPr>
        <w:t>我校</w:t>
      </w:r>
      <w:r>
        <w:rPr>
          <w:rFonts w:hint="eastAsia" w:ascii="方正仿宋_GBK" w:hAnsi="仿宋" w:eastAsia="方正仿宋_GBK" w:cs="仿宋"/>
          <w:sz w:val="32"/>
          <w:szCs w:val="32"/>
        </w:rPr>
        <w:t>2020届毕业生没有安排统一返校，仅临床、预防、护理等部分毕业生共计748人返校参加临床思维训练，其他毕业生全部通过线上开展教学和毕业考核，完成毕业、就业和离校等相关手续。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113F"/>
    <w:rsid w:val="196E1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2020-11-12T01:13:00Z</dcterms:created>
  <dc:creator>eggache</dc:creator>
  <cp:lastModifiedBy>eggache</cp:lastModifiedBy>
  <dcterms:modified xsi:type="dcterms:W3CDTF">2020-11-12T01:13:39Z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